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Notificación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Exclusión</w:t>
      </w:r>
      <w:r>
        <w:rPr>
          <w:spacing w:val="-4"/>
        </w:rPr>
        <w:t> </w:t>
      </w:r>
      <w:r>
        <w:rPr/>
        <w:t>por</w:t>
      </w:r>
      <w:r>
        <w:rPr>
          <w:spacing w:val="-5"/>
        </w:rPr>
        <w:t> </w:t>
      </w:r>
      <w:r>
        <w:rPr/>
        <w:t>Inmunizaciones</w:t>
      </w:r>
      <w:r>
        <w:rPr>
          <w:spacing w:val="-5"/>
        </w:rPr>
        <w:t> </w:t>
      </w:r>
      <w:r>
        <w:rPr>
          <w:spacing w:val="-2"/>
        </w:rPr>
        <w:t>Inadecuadas</w:t>
      </w:r>
    </w:p>
    <w:p>
      <w:pPr>
        <w:pStyle w:val="BodyText"/>
        <w:spacing w:before="9"/>
        <w:rPr>
          <w:b/>
        </w:rPr>
      </w:pPr>
    </w:p>
    <w:p>
      <w:pPr>
        <w:pStyle w:val="BodyText"/>
      </w:pPr>
      <w:r>
        <w:rPr>
          <w:spacing w:val="-2"/>
        </w:rPr>
        <w:t>(DATE)</w:t>
      </w:r>
    </w:p>
    <w:p>
      <w:pPr>
        <w:pStyle w:val="BodyText"/>
        <w:spacing w:before="10"/>
      </w:pPr>
    </w:p>
    <w:p>
      <w:pPr>
        <w:pStyle w:val="BodyText"/>
        <w:spacing w:before="1"/>
        <w:jc w:val="both"/>
      </w:pPr>
      <w:r>
        <w:rPr/>
        <w:t>Estimados</w:t>
      </w:r>
      <w:r>
        <w:rPr>
          <w:spacing w:val="-11"/>
        </w:rPr>
        <w:t> </w:t>
      </w:r>
      <w:r>
        <w:rPr>
          <w:spacing w:val="-2"/>
        </w:rPr>
        <w:t>Padres/Guardianes:</w:t>
      </w:r>
    </w:p>
    <w:p>
      <w:pPr>
        <w:pStyle w:val="BodyText"/>
        <w:spacing w:before="120"/>
        <w:ind w:right="897"/>
        <w:jc w:val="both"/>
      </w:pPr>
      <w:r>
        <w:rPr/>
        <w:t>Una revisión reciente de los registros de vacunación muestra que su hijo, (NAME), actualmente no cumple con la Ley de Inmunización Escolar para Estudiantes del estado de Utah (53G-9-302). Por lo tanto, bajo el Código Estatutario de Utah 53G-9-308, su hijo no podrá seguir asistiendo a la escuela a partir de (mm/dd/yyyy). Lamentamos</w:t>
      </w:r>
      <w:r>
        <w:rPr>
          <w:spacing w:val="-1"/>
        </w:rPr>
        <w:t> </w:t>
      </w:r>
      <w:r>
        <w:rPr/>
        <w:t>tener que haber</w:t>
      </w:r>
      <w:r>
        <w:rPr>
          <w:spacing w:val="-1"/>
        </w:rPr>
        <w:t> </w:t>
      </w:r>
      <w:r>
        <w:rPr/>
        <w:t>tomado esta</w:t>
      </w:r>
      <w:r>
        <w:rPr>
          <w:spacing w:val="-2"/>
        </w:rPr>
        <w:t> </w:t>
      </w:r>
      <w:r>
        <w:rPr/>
        <w:t>medida, pero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Ley</w:t>
      </w:r>
      <w:r>
        <w:rPr>
          <w:spacing w:val="-3"/>
        </w:rPr>
        <w:t> </w:t>
      </w:r>
      <w:r>
        <w:rPr/>
        <w:t>Estatal</w:t>
      </w:r>
      <w:r>
        <w:rPr>
          <w:spacing w:val="-1"/>
        </w:rPr>
        <w:t> </w:t>
      </w:r>
      <w:r>
        <w:rPr/>
        <w:t>exige</w:t>
      </w:r>
      <w:r>
        <w:rPr>
          <w:spacing w:val="-2"/>
        </w:rPr>
        <w:t> </w:t>
      </w:r>
      <w:r>
        <w:rPr/>
        <w:t>que los niños y niñas</w:t>
      </w:r>
      <w:r>
        <w:rPr>
          <w:spacing w:val="-12"/>
        </w:rPr>
        <w:t> </w:t>
      </w:r>
      <w:r>
        <w:rPr/>
        <w:t>tengan</w:t>
      </w:r>
      <w:r>
        <w:rPr>
          <w:spacing w:val="-11"/>
        </w:rPr>
        <w:t> </w:t>
      </w:r>
      <w:r>
        <w:rPr/>
        <w:t>las</w:t>
      </w:r>
      <w:r>
        <w:rPr>
          <w:spacing w:val="-12"/>
        </w:rPr>
        <w:t> </w:t>
      </w:r>
      <w:r>
        <w:rPr/>
        <w:t>vacunas</w:t>
      </w:r>
      <w:r>
        <w:rPr>
          <w:spacing w:val="-9"/>
        </w:rPr>
        <w:t> </w:t>
      </w:r>
      <w:r>
        <w:rPr/>
        <w:t>adecuadas</w:t>
      </w:r>
      <w:r>
        <w:rPr>
          <w:spacing w:val="-12"/>
        </w:rPr>
        <w:t> </w:t>
      </w:r>
      <w:r>
        <w:rPr/>
        <w:t>para</w:t>
      </w:r>
      <w:r>
        <w:rPr>
          <w:spacing w:val="-13"/>
        </w:rPr>
        <w:t> </w:t>
      </w:r>
      <w:r>
        <w:rPr/>
        <w:t>poder</w:t>
      </w:r>
      <w:r>
        <w:rPr>
          <w:spacing w:val="-9"/>
        </w:rPr>
        <w:t> </w:t>
      </w:r>
      <w:r>
        <w:rPr/>
        <w:t>asistir</w:t>
      </w:r>
      <w:r>
        <w:rPr>
          <w:spacing w:val="-9"/>
        </w:rPr>
        <w:t> </w:t>
      </w:r>
      <w:r>
        <w:rPr/>
        <w:t>a</w:t>
      </w:r>
      <w:r>
        <w:rPr>
          <w:spacing w:val="-13"/>
        </w:rPr>
        <w:t> </w:t>
      </w:r>
      <w:r>
        <w:rPr/>
        <w:t>una</w:t>
      </w:r>
      <w:r>
        <w:rPr>
          <w:spacing w:val="-11"/>
        </w:rPr>
        <w:t> </w:t>
      </w:r>
      <w:r>
        <w:rPr/>
        <w:t>escuela</w:t>
      </w:r>
      <w:r>
        <w:rPr>
          <w:spacing w:val="-13"/>
        </w:rPr>
        <w:t> </w:t>
      </w:r>
      <w:r>
        <w:rPr/>
        <w:t>o</w:t>
      </w:r>
      <w:r>
        <w:rPr>
          <w:spacing w:val="-11"/>
        </w:rPr>
        <w:t> </w:t>
      </w:r>
      <w:r>
        <w:rPr/>
        <w:t>un</w:t>
      </w:r>
      <w:r>
        <w:rPr>
          <w:spacing w:val="-11"/>
        </w:rPr>
        <w:t> </w:t>
      </w:r>
      <w:r>
        <w:rPr/>
        <w:t>programa</w:t>
      </w:r>
      <w:r>
        <w:rPr>
          <w:spacing w:val="-13"/>
        </w:rPr>
        <w:t> </w:t>
      </w:r>
      <w:r>
        <w:rPr/>
        <w:t>para</w:t>
      </w:r>
      <w:r>
        <w:rPr>
          <w:spacing w:val="-13"/>
        </w:rPr>
        <w:t> </w:t>
      </w:r>
      <w:r>
        <w:rPr/>
        <w:t>la</w:t>
      </w:r>
      <w:r>
        <w:rPr>
          <w:spacing w:val="-11"/>
        </w:rPr>
        <w:t> </w:t>
      </w:r>
      <w:r>
        <w:rPr/>
        <w:t>primera</w:t>
      </w:r>
      <w:r>
        <w:rPr>
          <w:spacing w:val="-12"/>
        </w:rPr>
        <w:t> </w:t>
      </w:r>
      <w:r>
        <w:rPr/>
        <w:t>infancia en el estado de Utah. Nuestra institución apoya esta política. Por favor obtenga las fechas completas para las vacunas indicadas y provéanos con un registro. Si su hijo/a no está vacunado por razones médicas, religiosas o</w:t>
      </w:r>
      <w:r>
        <w:rPr>
          <w:spacing w:val="-1"/>
        </w:rPr>
        <w:t> </w:t>
      </w:r>
      <w:r>
        <w:rPr/>
        <w:t>personales,</w:t>
      </w:r>
      <w:r>
        <w:rPr>
          <w:spacing w:val="-1"/>
        </w:rPr>
        <w:t> </w:t>
      </w:r>
      <w:r>
        <w:rPr/>
        <w:t>tiene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proveernos del formulario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exención correspondiente. Si</w:t>
      </w:r>
      <w:r>
        <w:rPr>
          <w:spacing w:val="-2"/>
        </w:rPr>
        <w:t> </w:t>
      </w:r>
      <w:r>
        <w:rPr/>
        <w:t>su hijo/a</w:t>
      </w:r>
      <w:r>
        <w:rPr>
          <w:spacing w:val="-1"/>
        </w:rPr>
        <w:t> </w:t>
      </w:r>
      <w:r>
        <w:rPr/>
        <w:t>tiene inmunidad contra la enfermedad para la cual se requiere la vacuna debido a que su hijo/a contrajo previamente dicha enfermedad, tiene que proveernos un documento de un proveedor de atención médica que así lo verifique. Su hijo/a no puede asistir a la escuela hasta que tengamos esta información.</w:t>
      </w:r>
    </w:p>
    <w:p>
      <w:pPr>
        <w:pStyle w:val="BodyText"/>
        <w:spacing w:before="120"/>
        <w:ind w:right="9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876604</wp:posOffset>
                </wp:positionH>
                <wp:positionV relativeFrom="paragraph">
                  <wp:posOffset>447240</wp:posOffset>
                </wp:positionV>
                <wp:extent cx="5187315" cy="499808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187315" cy="4998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05"/>
                              <w:gridCol w:w="835"/>
                              <w:gridCol w:w="223"/>
                              <w:gridCol w:w="126"/>
                              <w:gridCol w:w="321"/>
                              <w:gridCol w:w="194"/>
                              <w:gridCol w:w="306"/>
                              <w:gridCol w:w="293"/>
                              <w:gridCol w:w="167"/>
                              <w:gridCol w:w="113"/>
                              <w:gridCol w:w="223"/>
                              <w:gridCol w:w="853"/>
                              <w:gridCol w:w="1786"/>
                            </w:tblGrid>
                            <w:tr>
                              <w:trPr>
                                <w:trHeight w:val="1170" w:hRule="atLeast"/>
                              </w:trPr>
                              <w:tc>
                                <w:tcPr>
                                  <w:tcW w:w="2605" w:type="dxa"/>
                                </w:tcPr>
                                <w:p>
                                  <w:pPr>
                                    <w:pStyle w:val="TableParagraph"/>
                                    <w:spacing w:before="186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Vacuna</w:t>
                                  </w:r>
                                </w:p>
                              </w:tc>
                              <w:tc>
                                <w:tcPr>
                                  <w:tcW w:w="3654" w:type="dxa"/>
                                  <w:gridSpan w:val="11"/>
                                </w:tcPr>
                                <w:p>
                                  <w:pPr>
                                    <w:pStyle w:val="TableParagraph"/>
                                    <w:spacing w:before="186"/>
                                    <w:ind w:left="66" w:right="62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Dosis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faltante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76" w:lineRule="auto" w:before="34"/>
                                    <w:ind w:left="66" w:right="6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(haga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círculo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alrededor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del número de la dosis faltante)</w:t>
                                  </w: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54"/>
                                    <w:ind w:left="123" w:right="132" w:firstLine="45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Razón</w:t>
                                  </w:r>
                                  <w:r>
                                    <w:rPr>
                                      <w:b/>
                                      <w:spacing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(vea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códigos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78" w:lineRule="auto"/>
                                    <w:ind w:left="461" w:right="467" w:firstLine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columna derecha)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51" w:hRule="atLeast"/>
                              </w:trPr>
                              <w:tc>
                                <w:tcPr>
                                  <w:tcW w:w="2605" w:type="dxa"/>
                                </w:tcPr>
                                <w:p>
                                  <w:pPr>
                                    <w:pStyle w:val="TableParagraph"/>
                                    <w:spacing w:before="112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DTaP/DT/Td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2"/>
                                    <w:ind w:right="8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2"/>
                                    <w:ind w:lef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2"/>
                                    <w:ind w:right="14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2"/>
                                    <w:ind w:left="57" w:right="-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2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03" w:hRule="atLeast"/>
                              </w:trPr>
                              <w:tc>
                                <w:tcPr>
                                  <w:tcW w:w="2605" w:type="dxa"/>
                                </w:tcPr>
                                <w:p>
                                  <w:pPr>
                                    <w:pStyle w:val="TableParagraph"/>
                                    <w:spacing w:before="136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z w:val="20"/>
                                    </w:rPr>
                                    <w:t>TDap</w:t>
                                  </w:r>
                                  <w:r>
                                    <w:rPr>
                                      <w:color w:val="212121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(Refuerzo)*</w:t>
                                  </w:r>
                                </w:p>
                              </w:tc>
                              <w:tc>
                                <w:tcPr>
                                  <w:tcW w:w="3654" w:type="dxa"/>
                                  <w:gridSpan w:val="11"/>
                                </w:tcPr>
                                <w:p>
                                  <w:pPr>
                                    <w:pStyle w:val="TableParagraph"/>
                                    <w:spacing w:before="136"/>
                                    <w:ind w:left="66" w:right="11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80" w:hRule="atLeast"/>
                              </w:trPr>
                              <w:tc>
                                <w:tcPr>
                                  <w:tcW w:w="2605" w:type="dxa"/>
                                </w:tcPr>
                                <w:p>
                                  <w:pPr>
                                    <w:pStyle w:val="TableParagraph"/>
                                    <w:spacing w:before="124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Polio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4"/>
                                    <w:ind w:left="9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4"/>
                                    <w:ind w:left="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4"/>
                                    <w:ind w:left="10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4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38" w:hRule="atLeast"/>
                              </w:trPr>
                              <w:tc>
                                <w:tcPr>
                                  <w:tcW w:w="2605" w:type="dxa"/>
                                </w:tcPr>
                                <w:p>
                                  <w:pPr>
                                    <w:pStyle w:val="TableParagraph"/>
                                    <w:spacing w:before="88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MMR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(Sarampión,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Paperas,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Rubeola)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3"/>
                                    <w:ind w:right="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3"/>
                                    <w:ind w:left="1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6" w:hRule="atLeast"/>
                              </w:trPr>
                              <w:tc>
                                <w:tcPr>
                                  <w:tcW w:w="2605" w:type="dxa"/>
                                </w:tcPr>
                                <w:p>
                                  <w:pPr>
                                    <w:pStyle w:val="TableParagraph"/>
                                    <w:spacing w:before="133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Hepatitis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3"/>
                                    <w:ind w:left="21" w:right="-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3"/>
                                    <w:ind w:right="93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83" w:hRule="atLeast"/>
                              </w:trPr>
                              <w:tc>
                                <w:tcPr>
                                  <w:tcW w:w="2605" w:type="dxa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57" w:right="37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Haemophilus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Influenzae Tipo b (Hib)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5"/>
                                    <w:ind w:left="4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5"/>
                                    <w:ind w:right="4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5"/>
                                    <w:ind w:left="7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5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20" w:hRule="atLeast"/>
                              </w:trPr>
                              <w:tc>
                                <w:tcPr>
                                  <w:tcW w:w="2605" w:type="dxa"/>
                                </w:tcPr>
                                <w:p>
                                  <w:pPr>
                                    <w:pStyle w:val="TableParagraph"/>
                                    <w:spacing w:before="145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Varicela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45"/>
                                    <w:ind w:right="34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45"/>
                                    <w:ind w:left="12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03" w:hRule="atLeast"/>
                              </w:trPr>
                              <w:tc>
                                <w:tcPr>
                                  <w:tcW w:w="2605" w:type="dxa"/>
                                </w:tcPr>
                                <w:p>
                                  <w:pPr>
                                    <w:pStyle w:val="TableParagraph"/>
                                    <w:spacing w:before="136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Hepatitis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6"/>
                                    <w:ind w:right="34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6"/>
                                    <w:ind w:left="7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95" w:hRule="atLeast"/>
                              </w:trPr>
                              <w:tc>
                                <w:tcPr>
                                  <w:tcW w:w="2605" w:type="dxa"/>
                                </w:tcPr>
                                <w:p>
                                  <w:pPr>
                                    <w:pStyle w:val="TableParagraph"/>
                                    <w:spacing w:before="181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Pneumocócica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(PCV)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1"/>
                                    <w:ind w:right="6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1"/>
                                    <w:ind w:left="8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1"/>
                                    <w:ind w:right="64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1"/>
                                    <w:ind w:left="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92" w:hRule="atLeast"/>
                              </w:trPr>
                              <w:tc>
                                <w:tcPr>
                                  <w:tcW w:w="2605" w:type="dxa"/>
                                </w:tcPr>
                                <w:p>
                                  <w:pPr>
                                    <w:pStyle w:val="TableParagraph"/>
                                    <w:spacing w:before="181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Meningocócica</w:t>
                                  </w:r>
                                </w:p>
                              </w:tc>
                              <w:tc>
                                <w:tcPr>
                                  <w:tcW w:w="3654" w:type="dxa"/>
                                  <w:gridSpan w:val="11"/>
                                </w:tcPr>
                                <w:p>
                                  <w:pPr>
                                    <w:pStyle w:val="TableParagraph"/>
                                    <w:spacing w:before="181"/>
                                    <w:ind w:left="67" w:right="6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7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9.024002pt;margin-top:35.215801pt;width:408.45pt;height:393.55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05"/>
                        <w:gridCol w:w="835"/>
                        <w:gridCol w:w="223"/>
                        <w:gridCol w:w="126"/>
                        <w:gridCol w:w="321"/>
                        <w:gridCol w:w="194"/>
                        <w:gridCol w:w="306"/>
                        <w:gridCol w:w="293"/>
                        <w:gridCol w:w="167"/>
                        <w:gridCol w:w="113"/>
                        <w:gridCol w:w="223"/>
                        <w:gridCol w:w="853"/>
                        <w:gridCol w:w="1786"/>
                      </w:tblGrid>
                      <w:tr>
                        <w:trPr>
                          <w:trHeight w:val="1170" w:hRule="atLeast"/>
                        </w:trPr>
                        <w:tc>
                          <w:tcPr>
                            <w:tcW w:w="2605" w:type="dxa"/>
                          </w:tcPr>
                          <w:p>
                            <w:pPr>
                              <w:pStyle w:val="TableParagraph"/>
                              <w:spacing w:before="186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Vacuna</w:t>
                            </w:r>
                          </w:p>
                        </w:tc>
                        <w:tc>
                          <w:tcPr>
                            <w:tcW w:w="3654" w:type="dxa"/>
                            <w:gridSpan w:val="11"/>
                          </w:tcPr>
                          <w:p>
                            <w:pPr>
                              <w:pStyle w:val="TableParagraph"/>
                              <w:spacing w:before="186"/>
                              <w:ind w:left="66" w:right="6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Dosis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faltante</w:t>
                            </w:r>
                          </w:p>
                          <w:p>
                            <w:pPr>
                              <w:pStyle w:val="TableParagraph"/>
                              <w:spacing w:line="276" w:lineRule="auto" w:before="34"/>
                              <w:ind w:left="66" w:right="6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(haga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círculo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alrededor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 número de la dosis faltante)</w:t>
                            </w:r>
                          </w:p>
                        </w:tc>
                        <w:tc>
                          <w:tcPr>
                            <w:tcW w:w="1786" w:type="dxa"/>
                          </w:tcPr>
                          <w:p>
                            <w:pPr>
                              <w:pStyle w:val="TableParagraph"/>
                              <w:spacing w:line="276" w:lineRule="auto" w:before="54"/>
                              <w:ind w:left="123" w:right="132" w:firstLine="45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Razón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(vea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códigos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en</w:t>
                            </w:r>
                          </w:p>
                          <w:p>
                            <w:pPr>
                              <w:pStyle w:val="TableParagraph"/>
                              <w:spacing w:line="278" w:lineRule="auto"/>
                              <w:ind w:left="461" w:right="467" w:firstLine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columna derecha)</w:t>
                            </w:r>
                          </w:p>
                        </w:tc>
                      </w:tr>
                      <w:tr>
                        <w:trPr>
                          <w:trHeight w:val="551" w:hRule="atLeast"/>
                        </w:trPr>
                        <w:tc>
                          <w:tcPr>
                            <w:tcW w:w="2605" w:type="dxa"/>
                          </w:tcPr>
                          <w:p>
                            <w:pPr>
                              <w:pStyle w:val="TableParagraph"/>
                              <w:spacing w:before="112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DTaP/DT/Td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83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12"/>
                              <w:ind w:right="8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12"/>
                              <w:ind w:lef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12"/>
                              <w:ind w:right="14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9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12"/>
                              <w:ind w:left="57" w:right="-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3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12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7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03" w:hRule="atLeast"/>
                        </w:trPr>
                        <w:tc>
                          <w:tcPr>
                            <w:tcW w:w="2605" w:type="dxa"/>
                          </w:tcPr>
                          <w:p>
                            <w:pPr>
                              <w:pStyle w:val="TableParagraph"/>
                              <w:spacing w:before="136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12121"/>
                                <w:sz w:val="20"/>
                              </w:rPr>
                              <w:t>TDap</w:t>
                            </w:r>
                            <w:r>
                              <w:rPr>
                                <w:color w:val="212121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(Refuerzo)*</w:t>
                            </w:r>
                          </w:p>
                        </w:tc>
                        <w:tc>
                          <w:tcPr>
                            <w:tcW w:w="3654" w:type="dxa"/>
                            <w:gridSpan w:val="11"/>
                          </w:tcPr>
                          <w:p>
                            <w:pPr>
                              <w:pStyle w:val="TableParagraph"/>
                              <w:spacing w:before="136"/>
                              <w:ind w:left="66" w:right="1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7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80" w:hRule="atLeast"/>
                        </w:trPr>
                        <w:tc>
                          <w:tcPr>
                            <w:tcW w:w="2605" w:type="dxa"/>
                          </w:tcPr>
                          <w:p>
                            <w:pPr>
                              <w:pStyle w:val="TableParagraph"/>
                              <w:spacing w:before="124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Polio</w:t>
                            </w:r>
                          </w:p>
                        </w:tc>
                        <w:tc>
                          <w:tcPr>
                            <w:tcW w:w="83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24"/>
                              <w:ind w:left="9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24"/>
                              <w:ind w:lef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24"/>
                              <w:ind w:left="10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24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53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38" w:hRule="atLeast"/>
                        </w:trPr>
                        <w:tc>
                          <w:tcPr>
                            <w:tcW w:w="2605" w:type="dxa"/>
                          </w:tcPr>
                          <w:p>
                            <w:pPr>
                              <w:pStyle w:val="TableParagraph"/>
                              <w:spacing w:before="88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MMR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(Sarampión,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Paperas,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Rubeola)</w:t>
                            </w:r>
                          </w:p>
                        </w:tc>
                        <w:tc>
                          <w:tcPr>
                            <w:tcW w:w="83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03"/>
                              <w:ind w:right="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03"/>
                              <w:ind w:left="15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3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6" w:hRule="atLeast"/>
                        </w:trPr>
                        <w:tc>
                          <w:tcPr>
                            <w:tcW w:w="2605" w:type="dxa"/>
                          </w:tcPr>
                          <w:p>
                            <w:pPr>
                              <w:pStyle w:val="TableParagraph"/>
                              <w:spacing w:before="133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Hepatitis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83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33"/>
                              <w:ind w:left="21" w:right="-1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33"/>
                              <w:ind w:right="93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3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3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83" w:hRule="atLeast"/>
                        </w:trPr>
                        <w:tc>
                          <w:tcPr>
                            <w:tcW w:w="2605" w:type="dxa"/>
                          </w:tcPr>
                          <w:p>
                            <w:pPr>
                              <w:pStyle w:val="TableParagraph"/>
                              <w:spacing w:before="109"/>
                              <w:ind w:left="57" w:right="37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Haemophilus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Influenzae Tipo b (Hib)</w:t>
                            </w:r>
                          </w:p>
                        </w:tc>
                        <w:tc>
                          <w:tcPr>
                            <w:tcW w:w="83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25"/>
                              <w:ind w:left="4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25"/>
                              <w:ind w:right="4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25"/>
                              <w:ind w:left="7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25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53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20" w:hRule="atLeast"/>
                        </w:trPr>
                        <w:tc>
                          <w:tcPr>
                            <w:tcW w:w="2605" w:type="dxa"/>
                          </w:tcPr>
                          <w:p>
                            <w:pPr>
                              <w:pStyle w:val="TableParagraph"/>
                              <w:spacing w:before="145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Varicela</w:t>
                            </w:r>
                          </w:p>
                        </w:tc>
                        <w:tc>
                          <w:tcPr>
                            <w:tcW w:w="83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45"/>
                              <w:ind w:right="34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45"/>
                              <w:ind w:left="12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3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03" w:hRule="atLeast"/>
                        </w:trPr>
                        <w:tc>
                          <w:tcPr>
                            <w:tcW w:w="2605" w:type="dxa"/>
                          </w:tcPr>
                          <w:p>
                            <w:pPr>
                              <w:pStyle w:val="TableParagraph"/>
                              <w:spacing w:before="136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Hepatitis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83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36"/>
                              <w:ind w:right="34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36"/>
                              <w:ind w:left="7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3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95" w:hRule="atLeast"/>
                        </w:trPr>
                        <w:tc>
                          <w:tcPr>
                            <w:tcW w:w="2605" w:type="dxa"/>
                          </w:tcPr>
                          <w:p>
                            <w:pPr>
                              <w:pStyle w:val="TableParagraph"/>
                              <w:spacing w:before="181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Pneumocócica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(PCV)</w:t>
                            </w:r>
                          </w:p>
                        </w:tc>
                        <w:tc>
                          <w:tcPr>
                            <w:tcW w:w="83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81"/>
                              <w:ind w:right="6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81"/>
                              <w:ind w:left="8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81"/>
                              <w:ind w:right="64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9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8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3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81"/>
                              <w:ind w:left="8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7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92" w:hRule="atLeast"/>
                        </w:trPr>
                        <w:tc>
                          <w:tcPr>
                            <w:tcW w:w="2605" w:type="dxa"/>
                          </w:tcPr>
                          <w:p>
                            <w:pPr>
                              <w:pStyle w:val="TableParagraph"/>
                              <w:spacing w:before="181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Meningocócica</w:t>
                            </w:r>
                          </w:p>
                        </w:tc>
                        <w:tc>
                          <w:tcPr>
                            <w:tcW w:w="3654" w:type="dxa"/>
                            <w:gridSpan w:val="11"/>
                          </w:tcPr>
                          <w:p>
                            <w:pPr>
                              <w:pStyle w:val="TableParagraph"/>
                              <w:spacing w:before="181"/>
                              <w:ind w:left="67" w:right="6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7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LAS</w:t>
      </w:r>
      <w:r>
        <w:rPr>
          <w:spacing w:val="-5"/>
        </w:rPr>
        <w:t> </w:t>
      </w:r>
      <w:r>
        <w:rPr/>
        <w:t>CAJETILLAS</w:t>
      </w:r>
      <w:r>
        <w:rPr>
          <w:spacing w:val="-5"/>
        </w:rPr>
        <w:t> </w:t>
      </w:r>
      <w:r>
        <w:rPr/>
        <w:t>MARCADAS</w:t>
      </w:r>
      <w:r>
        <w:rPr>
          <w:spacing w:val="-3"/>
        </w:rPr>
        <w:t> </w:t>
      </w:r>
      <w:r>
        <w:rPr/>
        <w:t>ABAJO</w:t>
      </w:r>
      <w:r>
        <w:rPr>
          <w:spacing w:val="-4"/>
        </w:rPr>
        <w:t> </w:t>
      </w:r>
      <w:r>
        <w:rPr/>
        <w:t>INDICAN</w:t>
      </w:r>
      <w:r>
        <w:rPr>
          <w:spacing w:val="-5"/>
        </w:rPr>
        <w:t> </w:t>
      </w:r>
      <w:r>
        <w:rPr/>
        <w:t>LAS</w:t>
      </w:r>
      <w:r>
        <w:rPr>
          <w:spacing w:val="-3"/>
        </w:rPr>
        <w:t> </w:t>
      </w:r>
      <w:r>
        <w:rPr/>
        <w:t>DOSIS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SE</w:t>
      </w:r>
      <w:r>
        <w:rPr>
          <w:spacing w:val="-5"/>
        </w:rPr>
        <w:t> </w:t>
      </w:r>
      <w:r>
        <w:rPr/>
        <w:t>REQUIEREN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EL REGISTRO DE SU NIÑO/A.</w:t>
      </w:r>
    </w:p>
    <w:p>
      <w:pPr>
        <w:pStyle w:val="BodyText"/>
        <w:spacing w:before="72"/>
      </w:pPr>
    </w:p>
    <w:p>
      <w:pPr>
        <w:pStyle w:val="BodyText"/>
        <w:spacing w:after="0"/>
        <w:sectPr>
          <w:type w:val="continuous"/>
          <w:pgSz w:w="12240" w:h="15840"/>
          <w:pgMar w:top="560" w:bottom="280" w:left="1440" w:right="36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spacing w:line="580" w:lineRule="auto"/>
      </w:pPr>
      <w:r>
        <w:rPr/>
        <w:t>Si</w:t>
      </w:r>
      <w:r>
        <w:rPr>
          <w:spacing w:val="-6"/>
        </w:rPr>
        <w:t> </w:t>
      </w:r>
      <w:r>
        <w:rPr/>
        <w:t>tiene</w:t>
      </w:r>
      <w:r>
        <w:rPr>
          <w:spacing w:val="-6"/>
        </w:rPr>
        <w:t> </w:t>
      </w:r>
      <w:r>
        <w:rPr/>
        <w:t>preguntas</w:t>
      </w:r>
      <w:r>
        <w:rPr>
          <w:spacing w:val="-4"/>
        </w:rPr>
        <w:t> </w:t>
      </w:r>
      <w:r>
        <w:rPr/>
        <w:t>o</w:t>
      </w:r>
      <w:r>
        <w:rPr>
          <w:spacing w:val="-6"/>
        </w:rPr>
        <w:t> </w:t>
      </w:r>
      <w:r>
        <w:rPr/>
        <w:t>requiere</w:t>
      </w:r>
      <w:r>
        <w:rPr>
          <w:spacing w:val="-5"/>
        </w:rPr>
        <w:t> </w:t>
      </w:r>
      <w:r>
        <w:rPr/>
        <w:t>información</w:t>
      </w:r>
      <w:r>
        <w:rPr>
          <w:spacing w:val="-6"/>
        </w:rPr>
        <w:t> </w:t>
      </w:r>
      <w:r>
        <w:rPr/>
        <w:t>adicional,</w:t>
      </w:r>
      <w:r>
        <w:rPr>
          <w:spacing w:val="-5"/>
        </w:rPr>
        <w:t> </w:t>
      </w:r>
      <w:r>
        <w:rPr/>
        <w:t>sírvase</w:t>
      </w:r>
      <w:r>
        <w:rPr>
          <w:spacing w:val="-3"/>
        </w:rPr>
        <w:t> </w:t>
      </w:r>
      <w:r>
        <w:rPr/>
        <w:t>llamar</w:t>
      </w:r>
      <w:r>
        <w:rPr>
          <w:spacing w:val="-3"/>
        </w:rPr>
        <w:t> </w:t>
      </w:r>
      <w:r>
        <w:rPr/>
        <w:t>(TELEPHONE</w:t>
      </w:r>
      <w:r>
        <w:rPr>
          <w:spacing w:val="-3"/>
        </w:rPr>
        <w:t> </w:t>
      </w:r>
      <w:r>
        <w:rPr/>
        <w:t>NUMBER). </w:t>
      </w:r>
      <w:r>
        <w:rPr>
          <w:spacing w:val="-2"/>
        </w:rPr>
        <w:t>Sinceramente,</w:t>
      </w:r>
    </w:p>
    <w:p>
      <w:pPr>
        <w:pStyle w:val="BodyText"/>
        <w:spacing w:line="338" w:lineRule="auto"/>
        <w:ind w:right="7372"/>
      </w:pPr>
      <w:r>
        <w:rPr>
          <w:spacing w:val="-4"/>
        </w:rPr>
        <w:t>Name </w:t>
      </w:r>
      <w:r>
        <w:rPr>
          <w:spacing w:val="-2"/>
        </w:rPr>
        <w:t>Title</w:t>
      </w:r>
    </w:p>
    <w:p>
      <w:pPr>
        <w:pStyle w:val="ListParagraph"/>
        <w:numPr>
          <w:ilvl w:val="0"/>
          <w:numId w:val="1"/>
        </w:numPr>
        <w:tabs>
          <w:tab w:pos="272" w:val="left" w:leader="none"/>
          <w:tab w:pos="274" w:val="left" w:leader="none"/>
        </w:tabs>
        <w:spacing w:line="242" w:lineRule="auto" w:before="93" w:after="0"/>
        <w:ind w:left="274" w:right="243" w:hanging="274"/>
        <w:jc w:val="left"/>
        <w:rPr>
          <w:sz w:val="20"/>
        </w:rPr>
      </w:pPr>
      <w:r>
        <w:rPr/>
        <w:br w:type="column"/>
      </w:r>
      <w:r>
        <w:rPr>
          <w:sz w:val="20"/>
        </w:rPr>
        <w:t>Las</w:t>
      </w:r>
      <w:r>
        <w:rPr>
          <w:spacing w:val="-14"/>
          <w:sz w:val="20"/>
        </w:rPr>
        <w:t> </w:t>
      </w:r>
      <w:r>
        <w:rPr>
          <w:sz w:val="20"/>
        </w:rPr>
        <w:t>fechas</w:t>
      </w:r>
      <w:r>
        <w:rPr>
          <w:spacing w:val="-12"/>
          <w:sz w:val="20"/>
        </w:rPr>
        <w:t> </w:t>
      </w:r>
      <w:r>
        <w:rPr>
          <w:sz w:val="20"/>
        </w:rPr>
        <w:t>y</w:t>
      </w:r>
      <w:r>
        <w:rPr>
          <w:spacing w:val="-14"/>
          <w:sz w:val="20"/>
        </w:rPr>
        <w:t> </w:t>
      </w:r>
      <w:r>
        <w:rPr>
          <w:sz w:val="20"/>
        </w:rPr>
        <w:t>dosis faltan o están </w:t>
      </w:r>
      <w:r>
        <w:rPr>
          <w:spacing w:val="-2"/>
          <w:sz w:val="20"/>
        </w:rPr>
        <w:t>incompletas.</w:t>
      </w:r>
    </w:p>
    <w:p>
      <w:pPr>
        <w:pStyle w:val="ListParagraph"/>
        <w:numPr>
          <w:ilvl w:val="0"/>
          <w:numId w:val="1"/>
        </w:numPr>
        <w:tabs>
          <w:tab w:pos="253" w:val="left" w:leader="none"/>
          <w:tab w:pos="274" w:val="left" w:leader="none"/>
        </w:tabs>
        <w:spacing w:line="242" w:lineRule="auto" w:before="112" w:after="0"/>
        <w:ind w:left="274" w:right="87" w:hanging="274"/>
        <w:jc w:val="left"/>
        <w:rPr>
          <w:sz w:val="20"/>
        </w:rPr>
      </w:pPr>
      <w:r>
        <w:rPr>
          <w:sz w:val="20"/>
        </w:rPr>
        <w:t>Las dosis previas fueron hechas con muy</w:t>
      </w:r>
      <w:r>
        <w:rPr>
          <w:spacing w:val="-14"/>
          <w:sz w:val="20"/>
        </w:rPr>
        <w:t> </w:t>
      </w:r>
      <w:r>
        <w:rPr>
          <w:sz w:val="20"/>
        </w:rPr>
        <w:t>poco</w:t>
      </w:r>
      <w:r>
        <w:rPr>
          <w:spacing w:val="-14"/>
          <w:sz w:val="20"/>
        </w:rPr>
        <w:t> </w:t>
      </w:r>
      <w:r>
        <w:rPr>
          <w:sz w:val="20"/>
        </w:rPr>
        <w:t>tiempo</w:t>
      </w:r>
      <w:r>
        <w:rPr>
          <w:spacing w:val="-14"/>
          <w:sz w:val="20"/>
        </w:rPr>
        <w:t> </w:t>
      </w:r>
      <w:r>
        <w:rPr>
          <w:sz w:val="20"/>
        </w:rPr>
        <w:t>de por medio.</w:t>
      </w:r>
    </w:p>
    <w:p>
      <w:pPr>
        <w:pStyle w:val="ListParagraph"/>
        <w:numPr>
          <w:ilvl w:val="0"/>
          <w:numId w:val="1"/>
        </w:numPr>
        <w:tabs>
          <w:tab w:pos="253" w:val="left" w:leader="none"/>
          <w:tab w:pos="274" w:val="left" w:leader="none"/>
        </w:tabs>
        <w:spacing w:line="240" w:lineRule="auto" w:before="112" w:after="0"/>
        <w:ind w:left="274" w:right="62" w:hanging="274"/>
        <w:jc w:val="left"/>
        <w:rPr>
          <w:sz w:val="20"/>
        </w:rPr>
      </w:pPr>
      <w:r>
        <w:rPr>
          <w:sz w:val="20"/>
        </w:rPr>
        <w:t>Las dosis previas fueron</w:t>
      </w:r>
      <w:r>
        <w:rPr>
          <w:spacing w:val="-14"/>
          <w:sz w:val="20"/>
        </w:rPr>
        <w:t> </w:t>
      </w:r>
      <w:r>
        <w:rPr>
          <w:sz w:val="20"/>
        </w:rPr>
        <w:t>hechas</w:t>
      </w:r>
      <w:r>
        <w:rPr>
          <w:spacing w:val="-12"/>
          <w:sz w:val="20"/>
        </w:rPr>
        <w:t> </w:t>
      </w:r>
      <w:r>
        <w:rPr>
          <w:sz w:val="20"/>
        </w:rPr>
        <w:t>a</w:t>
      </w:r>
      <w:r>
        <w:rPr>
          <w:spacing w:val="-14"/>
          <w:sz w:val="20"/>
        </w:rPr>
        <w:t> </w:t>
      </w:r>
      <w:r>
        <w:rPr>
          <w:sz w:val="20"/>
        </w:rPr>
        <w:t>una edad demasiado </w:t>
      </w:r>
      <w:r>
        <w:rPr>
          <w:spacing w:val="-2"/>
          <w:sz w:val="20"/>
        </w:rPr>
        <w:t>temprana.</w:t>
      </w:r>
    </w:p>
    <w:p>
      <w:pPr>
        <w:pStyle w:val="BodyText"/>
        <w:spacing w:before="67"/>
      </w:pPr>
    </w:p>
    <w:p>
      <w:pPr>
        <w:pStyle w:val="BodyText"/>
        <w:spacing w:before="1"/>
        <w:ind w:left="190"/>
      </w:pPr>
      <w:r>
        <w:rPr/>
        <w:t>*D</w:t>
      </w:r>
      <w:r>
        <w:rPr>
          <w:spacing w:val="-1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2"/>
        </w:rPr>
        <w:t>Difteria</w:t>
      </w:r>
    </w:p>
    <w:p>
      <w:pPr>
        <w:pStyle w:val="BodyText"/>
        <w:spacing w:before="96"/>
        <w:ind w:left="190"/>
      </w:pPr>
      <w:r>
        <w:rPr/>
        <w:t>*T</w:t>
      </w:r>
      <w:r>
        <w:rPr>
          <w:spacing w:val="-1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2"/>
        </w:rPr>
        <w:t>Tétano</w:t>
      </w:r>
    </w:p>
    <w:p>
      <w:pPr>
        <w:pStyle w:val="BodyText"/>
        <w:spacing w:before="96"/>
        <w:ind w:left="190"/>
      </w:pPr>
      <w:r>
        <w:rPr/>
        <w:t>*P</w:t>
      </w:r>
      <w:r>
        <w:rPr>
          <w:spacing w:val="-2"/>
        </w:rPr>
        <w:t> </w:t>
      </w:r>
      <w:r>
        <w:rPr/>
        <w:t>=</w:t>
      </w:r>
      <w:r>
        <w:rPr>
          <w:spacing w:val="-2"/>
        </w:rPr>
        <w:t> Pertussis</w:t>
      </w:r>
    </w:p>
    <w:sectPr>
      <w:type w:val="continuous"/>
      <w:pgSz w:w="12240" w:h="15840"/>
      <w:pgMar w:top="560" w:bottom="280" w:left="1440" w:right="360"/>
      <w:cols w:num="2" w:equalWidth="0">
        <w:col w:w="8238" w:space="41"/>
        <w:col w:w="216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Letter"/>
      <w:lvlText w:val="%1."/>
      <w:lvlJc w:val="left"/>
      <w:pPr>
        <w:ind w:left="274" w:hanging="274"/>
        <w:jc w:val="left"/>
      </w:pPr>
      <w:rPr>
        <w:rFonts w:hint="default" w:ascii="Arial" w:hAnsi="Arial" w:eastAsia="Arial" w:cs="Arial"/>
        <w:b/>
        <w:bCs/>
        <w:i w:val="0"/>
        <w:iCs w:val="0"/>
        <w:spacing w:val="-5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68" w:hanging="27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656" w:hanging="27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44" w:hanging="27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032" w:hanging="27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220" w:hanging="27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408" w:hanging="27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596" w:hanging="27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784" w:hanging="27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7"/>
      <w:ind w:left="1390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2"/>
      <w:ind w:left="274" w:right="62" w:hanging="274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2026-08-26T19:01:20Z</dcterms:created>
  <dcterms:modified xsi:type="dcterms:W3CDTF">2026-08-26T19:01:20Z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2026-08-26T00:00:00Z</vt:filetime>
  </property>
</Properties>
</file>